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</w:t>
      </w:r>
      <w:r/>
    </w:p>
    <w:p>
      <w:pPr>
        <w:pStyle w:val="835"/>
        <w:rPr>
          <w:b/>
          <w:szCs w:val="24"/>
        </w:rPr>
      </w:pPr>
      <w:r>
        <w:rPr>
          <w:b/>
          <w:szCs w:val="24"/>
        </w:rPr>
      </w:r>
      <w:r/>
    </w:p>
    <w:tbl>
      <w:tblPr>
        <w:tblStyle w:val="839"/>
        <w:tblW w:w="19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</w:t>
            </w:r>
            <w:r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«СШ «Вымпел»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А.О. Горячев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____________2023 г.</w:t>
            </w:r>
            <w:r/>
          </w:p>
          <w:p>
            <w:pPr>
              <w:pStyle w:val="8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культуре и массовому спорту администрации города Рязани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К.О. Сосунов</w:t>
            </w:r>
            <w:r/>
          </w:p>
          <w:p>
            <w:pPr>
              <w:pStyle w:val="84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«_____»______________2023 г.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ОО «Рязанская областная 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федерация лыжных гонок»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Д.В. Самарский</w:t>
            </w:r>
            <w:r/>
          </w:p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 2023 г.</w:t>
            </w:r>
            <w:r/>
          </w:p>
          <w:p>
            <w:pPr>
              <w:pStyle w:val="8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3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чемпионата и первенства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Рязани по </w:t>
      </w:r>
      <w:r>
        <w:rPr>
          <w:b/>
          <w:sz w:val="28"/>
          <w:szCs w:val="28"/>
        </w:rPr>
        <w:t xml:space="preserve">лыжным гонкам.</w:t>
      </w:r>
      <w:r/>
    </w:p>
    <w:p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5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0810" cy="4860925"/>
                <wp:effectExtent l="0" t="0" r="0" b="0"/>
                <wp:docPr id="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1WEEm9Nnu7Y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0810" cy="486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0.3pt;height:382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3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 г.</w:t>
      </w:r>
      <w:r/>
    </w:p>
    <w:p>
      <w:pPr>
        <w:pStyle w:val="83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3"/>
        <w:ind w:left="0"/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1.ОБЩИЕ ПОЛОЖЕНИЯ</w:t>
      </w:r>
      <w:r/>
    </w:p>
    <w:p>
      <w:pPr>
        <w:contextualSpacing/>
        <w:ind w:right="141"/>
        <w:jc w:val="both"/>
        <w:rPr>
          <w:rFonts w:eastAsia="SimSu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Открытый чемпионат и первенст</w:t>
      </w:r>
      <w:r>
        <w:rPr>
          <w:sz w:val="28"/>
          <w:szCs w:val="28"/>
        </w:rPr>
        <w:t xml:space="preserve">во города Рязани по лыжным гонкам</w:t>
      </w:r>
      <w:r>
        <w:rPr>
          <w:sz w:val="28"/>
          <w:szCs w:val="28"/>
        </w:rPr>
        <w:t xml:space="preserve"> (далее соревнования) проводятся в соответствии с календарным планом спортивных соревнований и физкультурно-оздоровительных мероприятий управления по физической культуре и массовому спорту администрации города Рязани на 2023 год, настоящим положением и</w:t>
      </w:r>
      <w:r>
        <w:rPr>
          <w:rFonts w:eastAsia="SimSun"/>
          <w:sz w:val="28"/>
          <w:szCs w:val="28"/>
          <w:lang w:eastAsia="ar-SA"/>
        </w:rPr>
        <w:t xml:space="preserve"> в соответствии с правилами вида спорта «Лыжные гонки», утверждёнными приказом </w:t>
      </w:r>
      <w:r>
        <w:rPr>
          <w:rFonts w:eastAsia="SimSun"/>
          <w:sz w:val="28"/>
          <w:szCs w:val="28"/>
          <w:lang w:eastAsia="ar-SA"/>
        </w:rPr>
        <w:t xml:space="preserve">Минспорта</w:t>
      </w:r>
      <w:r>
        <w:rPr>
          <w:rFonts w:eastAsia="SimSun"/>
          <w:sz w:val="28"/>
          <w:szCs w:val="28"/>
          <w:lang w:eastAsia="ar-SA"/>
        </w:rPr>
        <w:t xml:space="preserve"> России от 05 декабря 2022 г. №1130.</w:t>
      </w:r>
      <w:r/>
    </w:p>
    <w:p>
      <w:pPr>
        <w:pStyle w:val="843"/>
        <w:ind w:left="0" w:firstLine="599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целях создания условий для развития физической культуры и с</w:t>
      </w:r>
      <w:r>
        <w:rPr>
          <w:sz w:val="28"/>
          <w:szCs w:val="28"/>
        </w:rPr>
        <w:t xml:space="preserve">порта в городе Рязани, а также создания условий, обеспечивающих возможность для населения города вести здоровый образ жизни, повышения интереса и приобщения различных категорий граждан (слоев общества) к регулярным занятиям физической культурой и спортом. </w:t>
      </w:r>
      <w:r/>
    </w:p>
    <w:p>
      <w:pPr>
        <w:pStyle w:val="843"/>
        <w:ind w:left="0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соревнований являются:</w:t>
      </w:r>
      <w:r/>
    </w:p>
    <w:p>
      <w:pPr>
        <w:pStyle w:val="843"/>
        <w:ind w:left="0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здорового образа жизни;</w:t>
      </w:r>
      <w:r/>
    </w:p>
    <w:p>
      <w:pPr>
        <w:pStyle w:val="843"/>
        <w:ind w:left="0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лыжных гонок;</w:t>
      </w:r>
      <w:r/>
    </w:p>
    <w:p>
      <w:pPr>
        <w:pStyle w:val="843"/>
        <w:ind w:left="0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сильнейших спортсменов перед зимним спортивным сезоном;</w:t>
      </w:r>
      <w:r/>
    </w:p>
    <w:p>
      <w:pPr>
        <w:pStyle w:val="843"/>
        <w:ind w:left="0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детей и молодежи к занятиям физической культурой и спортом.</w:t>
      </w:r>
      <w:r/>
    </w:p>
    <w:p>
      <w:pPr>
        <w:pStyle w:val="84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2.СРОКИ И МЕСТО ПРОВЕДЕНИЯ</w:t>
      </w:r>
      <w:r/>
    </w:p>
    <w:p>
      <w:pPr>
        <w:ind w:firstLine="602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Соревнования проводятся 22-24 дека</w:t>
      </w:r>
      <w:r>
        <w:rPr>
          <w:sz w:val="28"/>
          <w:szCs w:val="28"/>
        </w:rPr>
        <w:t xml:space="preserve">бря 2023 года. Место проведения:</w:t>
      </w:r>
      <w:r>
        <w:rPr>
          <w:sz w:val="28"/>
          <w:szCs w:val="28"/>
        </w:rPr>
        <w:t xml:space="preserve"> Рязанский район, пос. Варские, б/к Алмаз</w:t>
      </w:r>
      <w:r>
        <w:rPr>
          <w:sz w:val="28"/>
          <w:szCs w:val="28"/>
        </w:rPr>
        <w:t xml:space="preserve">.</w:t>
      </w:r>
      <w:r/>
    </w:p>
    <w:p>
      <w:pPr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соревнований в 11.00.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Торжественное открытие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10.30.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номеров заканчивается в 10.30 час.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3.РУКОВОДСТВО ПРОВЕДЕНИЕМ СОРЕВНОВАНИЙ</w:t>
      </w:r>
      <w:r/>
    </w:p>
    <w:p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руководство проведением соревнований осуществляется управлением по физической культуре и массовому спорту администрации города Рязани (далее - управление), непосредственное проведение возлагается на МБУ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«СШ «Вымпел» и судейскую коллегию, представленную общественной организацией «Рязанской областной федерацией лыжных гонок»,</w:t>
      </w:r>
      <w:r>
        <w:rPr>
          <w:sz w:val="28"/>
          <w:szCs w:val="28"/>
        </w:rPr>
        <w:t xml:space="preserve"> утверждённую управлением.</w:t>
      </w:r>
      <w:r/>
    </w:p>
    <w:p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4.ТРЕБОВАНИЯ К УЧАСТНИКАМ СОРЕВНОВАНИЙ И УСЛОВИЯ ИХ ДОПУСКА. ПРОГРАММА СОРЕВНОВАНИЙ</w:t>
      </w:r>
      <w:r/>
    </w:p>
    <w:p>
      <w:pPr>
        <w:ind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 соревнованиям допускаются лыжники, имеющие допуск врача и договор страхования жизни и здоровья от несчастных случаев. </w:t>
      </w:r>
      <w:r/>
    </w:p>
    <w:p>
      <w:pPr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23.12. 2023 г.</w:t>
      </w:r>
      <w:r>
        <w:rPr>
          <w:sz w:val="28"/>
          <w:szCs w:val="28"/>
          <w:u w:val="single"/>
        </w:rPr>
        <w:t xml:space="preserve"> – </w:t>
      </w:r>
      <w:r>
        <w:rPr>
          <w:color w:val="000000"/>
          <w:sz w:val="28"/>
          <w:szCs w:val="28"/>
          <w:u w:val="single"/>
        </w:rPr>
        <w:t xml:space="preserve">стиль свободный (</w:t>
      </w:r>
      <w:r>
        <w:rPr>
          <w:color w:val="000000"/>
          <w:sz w:val="28"/>
          <w:szCs w:val="28"/>
        </w:rPr>
        <w:t xml:space="preserve">старт раздельный парный в каждой возрастной группе).</w:t>
      </w:r>
      <w:r/>
    </w:p>
    <w:tbl>
      <w:tblPr>
        <w:tblStyle w:val="83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002"/>
        <w:gridCol w:w="1048"/>
        <w:gridCol w:w="3177"/>
        <w:gridCol w:w="1161"/>
      </w:tblGrid>
      <w:tr>
        <w:trPr>
          <w:trHeight w:val="230"/>
        </w:trPr>
        <w:tc>
          <w:tcPr>
            <w:tcW w:w="4002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Ю3-2012 г.р. и моложе 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км</w:t>
            </w:r>
            <w:r/>
          </w:p>
        </w:tc>
        <w:tc>
          <w:tcPr>
            <w:tcW w:w="3177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Д3-2012 </w:t>
            </w:r>
            <w:r>
              <w:rPr>
                <w:sz w:val="28"/>
                <w:szCs w:val="28"/>
              </w:rPr>
              <w:t xml:space="preserve">г.р. и моложе </w:t>
            </w:r>
            <w:r/>
          </w:p>
        </w:tc>
        <w:tc>
          <w:tcPr>
            <w:tcW w:w="116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Ю2-2010-2011 г.р. 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Д2-2010-2011 г.р. 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Ю1-2008-2009 г.р.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Д1-2008- 2009 г.р.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Ю0-2006-2007 г.р.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Д0-2006-2007 г.р.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Юн-2004-2005</w:t>
            </w:r>
            <w:r>
              <w:rPr>
                <w:sz w:val="28"/>
                <w:szCs w:val="28"/>
              </w:rPr>
              <w:t xml:space="preserve"> г.р.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Юн-2004</w:t>
            </w:r>
            <w:r>
              <w:rPr>
                <w:sz w:val="28"/>
                <w:szCs w:val="28"/>
              </w:rPr>
              <w:t xml:space="preserve">-2005 г.р.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М0-2003 г.р.- старше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Ж0-2003 г.р.-</w:t>
            </w:r>
            <w:r>
              <w:rPr>
                <w:sz w:val="28"/>
                <w:szCs w:val="28"/>
              </w:rPr>
              <w:t xml:space="preserve"> старше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км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24.12. 2023 г</w:t>
      </w:r>
      <w:r>
        <w:rPr>
          <w:b/>
          <w:color w:val="000000"/>
          <w:sz w:val="28"/>
          <w:szCs w:val="28"/>
          <w:u w:val="single"/>
        </w:rPr>
        <w:t xml:space="preserve">.</w:t>
      </w:r>
      <w:r>
        <w:rPr>
          <w:color w:val="000000"/>
          <w:sz w:val="28"/>
          <w:szCs w:val="28"/>
          <w:u w:val="single"/>
        </w:rPr>
        <w:t xml:space="preserve"> – стиль классический (</w:t>
      </w:r>
      <w:r>
        <w:rPr>
          <w:color w:val="000000"/>
          <w:sz w:val="28"/>
          <w:szCs w:val="28"/>
        </w:rPr>
        <w:t xml:space="preserve">старт раздельный парный в каждой возрастной группе).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 подъёмах будут отмечены пункты для передвижения только попеременным 2-х </w:t>
      </w:r>
      <w:r>
        <w:rPr>
          <w:b/>
          <w:color w:val="000000"/>
          <w:sz w:val="28"/>
          <w:szCs w:val="28"/>
        </w:rPr>
        <w:t xml:space="preserve">шажным</w:t>
      </w:r>
      <w:r>
        <w:rPr>
          <w:b/>
          <w:color w:val="000000"/>
          <w:sz w:val="28"/>
          <w:szCs w:val="28"/>
        </w:rPr>
        <w:t xml:space="preserve"> ходом.</w:t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tbl>
      <w:tblPr>
        <w:tblStyle w:val="83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002"/>
        <w:gridCol w:w="1048"/>
        <w:gridCol w:w="3177"/>
        <w:gridCol w:w="1161"/>
      </w:tblGrid>
      <w:tr>
        <w:trPr>
          <w:trHeight w:val="230"/>
        </w:trPr>
        <w:tc>
          <w:tcPr>
            <w:tcW w:w="4002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Ю3-2012 г.р. и моложе 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км</w:t>
            </w:r>
            <w:r/>
          </w:p>
        </w:tc>
        <w:tc>
          <w:tcPr>
            <w:tcW w:w="3177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Д3-2012 г.р. и моложе </w:t>
            </w:r>
            <w:r/>
          </w:p>
        </w:tc>
        <w:tc>
          <w:tcPr>
            <w:tcW w:w="116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Ю2-2010-2011 г.р. 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Д2-2010-2011 г.р. 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Ю1-2008-2009 г.р.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Д1-2008- 2009 г.р.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Ю0-2006-2007 г.р.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Д0-2006-2007 г.р.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Юн-2004-2005 г.р.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Юн-2004-2005 г.р.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М0-2003 г.р.- старше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Ж0-2003 г.р.- старше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</w:tr>
    </w:tbl>
    <w:p>
      <w:pPr>
        <w:contextualSpacing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/>
    </w:p>
    <w:p>
      <w:pPr>
        <w:contextualSpacing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Соревнования проводятся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(утв. Министерством спорта РФ</w:t>
      </w:r>
      <w:r>
        <w:rPr>
          <w:rFonts w:eastAsia="SimSun"/>
          <w:sz w:val="28"/>
          <w:szCs w:val="28"/>
        </w:rPr>
        <w:t xml:space="preserve"> и Главным государственным санитарным врачом РФ 31 июля 2020 г.) и министром физической культуры и спорта РФ от 31.07.2020 года (с изменениями от 19.08.2020 года) и в соответствии с действующими правилами вида спорта «Лыжные гонки», утвержденными приказом </w:t>
      </w:r>
      <w:r>
        <w:rPr>
          <w:rFonts w:eastAsia="SimSun"/>
          <w:sz w:val="28"/>
          <w:szCs w:val="28"/>
        </w:rPr>
        <w:t xml:space="preserve">Минспорта</w:t>
      </w:r>
      <w:r>
        <w:rPr>
          <w:rFonts w:eastAsia="SimSun"/>
          <w:sz w:val="28"/>
          <w:szCs w:val="28"/>
        </w:rPr>
        <w:t xml:space="preserve"> России от 01ноября 2017 г.  № 949.</w:t>
      </w:r>
      <w:r/>
    </w:p>
    <w:p>
      <w:pPr>
        <w:ind w:left="360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/>
    </w:p>
    <w:p>
      <w:pPr>
        <w:ind w:hanging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НАГРАЖДЕНИЕ ПОБЕДИТЕЛЕЙ И ПРИЗЕРОВ</w:t>
      </w:r>
      <w:r/>
    </w:p>
    <w:p>
      <w:pPr>
        <w:ind w:left="3" w:firstLine="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Участники, занявшие 1-2-3 ме</w:t>
      </w:r>
      <w:r>
        <w:rPr>
          <w:sz w:val="28"/>
          <w:szCs w:val="28"/>
        </w:rPr>
        <w:t xml:space="preserve">ста в каждой</w:t>
      </w:r>
      <w:r>
        <w:rPr>
          <w:sz w:val="28"/>
          <w:szCs w:val="28"/>
        </w:rPr>
        <w:t xml:space="preserve"> группе награждаются призами </w:t>
      </w:r>
      <w:r>
        <w:rPr>
          <w:sz w:val="28"/>
          <w:szCs w:val="28"/>
        </w:rPr>
        <w:t xml:space="preserve">медалями </w:t>
      </w:r>
      <w:r>
        <w:rPr>
          <w:sz w:val="28"/>
          <w:szCs w:val="28"/>
        </w:rPr>
        <w:t xml:space="preserve">и грамотами</w:t>
      </w:r>
      <w:r>
        <w:rPr>
          <w:sz w:val="28"/>
          <w:szCs w:val="28"/>
        </w:rPr>
        <w:t xml:space="preserve">.</w:t>
      </w:r>
      <w:r/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/>
    </w:p>
    <w:p>
      <w:pPr>
        <w:ind w:left="36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УСЛОВИЯ ФИНАНСИРОВАНИЯ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расходы,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несет МБУ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«СШ» Вымпел».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командировочные расходы за счет командирующих организаций.</w:t>
      </w:r>
      <w:r/>
    </w:p>
    <w:p>
      <w:pPr>
        <w:ind w:left="360"/>
        <w:jc w:val="both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/>
    </w:p>
    <w:p>
      <w:pPr>
        <w:ind w:left="426" w:firstLine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ОБЕСПЕЧЕНИЕ БЕЗОПАСНОСТИ УЧАСТНИКОВ И ЗРИТЕЛЕЙ </w:t>
      </w:r>
      <w:r>
        <w:rPr>
          <w:sz w:val="28"/>
          <w:szCs w:val="28"/>
        </w:rPr>
        <w:t xml:space="preserve">           Организатор соревнований МБУ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«СШ «Вымпел» обеспечивает безопасность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при проведен</w:t>
      </w:r>
      <w:r>
        <w:rPr>
          <w:sz w:val="28"/>
          <w:szCs w:val="28"/>
        </w:rPr>
        <w:t xml:space="preserve">ии соревнований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 Физкультурные мероприятия проводятся на объектах спорта, отвечающих</w:t>
      </w:r>
      <w:r/>
    </w:p>
    <w:p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 требованиям соответствующих нормативно- правовых актов, действующих на территории РФ и направленных на обеспечение </w:t>
      </w:r>
      <w:r/>
    </w:p>
    <w:p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общественного порядка и безопасности участников и зрителей, при наличии </w:t>
      </w:r>
      <w:r/>
    </w:p>
    <w:p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актов готовности объектов спорта к проведению физкультурных мероприятий,  </w:t>
      </w:r>
      <w:r/>
    </w:p>
    <w:p>
      <w:pPr>
        <w:ind w:firstLine="142"/>
        <w:rPr>
          <w:b/>
          <w:sz w:val="28"/>
          <w:szCs w:val="28"/>
        </w:rPr>
      </w:pPr>
      <w:r>
        <w:rPr>
          <w:sz w:val="28"/>
          <w:szCs w:val="28"/>
        </w:rPr>
        <w:t xml:space="preserve">утвержденных в установленном порядке.</w:t>
      </w:r>
      <w:r/>
    </w:p>
    <w:p>
      <w:pPr>
        <w:contextualSpacing/>
        <w:ind w:firstLine="560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</w:t>
      </w:r>
      <w:r>
        <w:rPr>
          <w:sz w:val="28"/>
          <w:szCs w:val="28"/>
        </w:rPr>
        <w:t xml:space="preserve"> здравоохранения Российской Федерации № 134н от 01.03.2016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r>
        <w:rPr>
          <w:sz w:val="28"/>
          <w:szCs w:val="28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  <w:r/>
    </w:p>
    <w:p>
      <w:pPr>
        <w:contextualSpacing/>
        <w:ind w:firstLine="560"/>
        <w:jc w:val="both"/>
        <w:spacing w:after="2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72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ТРЕБОВАНИЯ О ПРЕДОТВРАЩЕНИИ ПРОТИВОПРАВНОГО ВЛИЯНИЯ НА РЕЗУЛЬТАТЫ ОФИЦИАЛЬНЫХ СПОРТИВНЫХ СОРЕВНОВАНИЙ И БОРЬБА С НИМ</w:t>
      </w:r>
      <w:r/>
    </w:p>
    <w:p>
      <w:pPr>
        <w:contextualSpacing/>
        <w:ind w:firstLine="398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  <w:r/>
    </w:p>
    <w:p>
      <w:pPr>
        <w:numPr>
          <w:ilvl w:val="0"/>
          <w:numId w:val="2"/>
        </w:numPr>
        <w:contextualSpacing/>
        <w:ind w:left="0" w:firstLine="398"/>
        <w:jc w:val="both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  <w:r/>
    </w:p>
    <w:p>
      <w:pPr>
        <w:numPr>
          <w:ilvl w:val="0"/>
          <w:numId w:val="2"/>
        </w:numPr>
        <w:contextualSpacing/>
        <w:ind w:left="0" w:firstLine="398"/>
        <w:jc w:val="both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для спортивных судей на соревнования по виду или видам спорта, по которым они обеспечивают соблюдение правил вида или видов </w:t>
      </w:r>
      <w:r>
        <w:rPr>
          <w:sz w:val="28"/>
          <w:szCs w:val="28"/>
        </w:rPr>
        <w:t xml:space="preserve">спорти</w:t>
      </w:r>
      <w:r>
        <w:rPr>
          <w:sz w:val="28"/>
          <w:szCs w:val="28"/>
        </w:rPr>
        <w:t xml:space="preserve"> положений (регламентов) о соответствующих официальных спортивных соревнованиях;</w:t>
      </w:r>
      <w:r/>
    </w:p>
    <w:p>
      <w:pPr>
        <w:numPr>
          <w:ilvl w:val="0"/>
          <w:numId w:val="2"/>
        </w:numPr>
        <w:contextualSpacing/>
        <w:ind w:left="0" w:firstLine="398"/>
        <w:jc w:val="both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  <w:r/>
    </w:p>
    <w:p>
      <w:pPr>
        <w:numPr>
          <w:ilvl w:val="0"/>
          <w:numId w:val="2"/>
        </w:numPr>
        <w:contextualSpacing/>
        <w:ind w:left="0" w:firstLine="398"/>
        <w:jc w:val="both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  <w:r/>
    </w:p>
    <w:p>
      <w:pPr>
        <w:numPr>
          <w:ilvl w:val="0"/>
          <w:numId w:val="2"/>
        </w:numPr>
        <w:contextualSpacing/>
        <w:ind w:left="0" w:firstLine="398"/>
        <w:jc w:val="both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для других участников соревнований на официальные спортивные соревнования по виду или видам спорта, по которым участвуют              в соответствующих официальных спортивных соревнованиях.</w:t>
      </w:r>
      <w:r/>
    </w:p>
    <w:p>
      <w:pPr>
        <w:contextualSpacing/>
        <w:ind w:firstLine="398"/>
        <w:jc w:val="both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  <w:r/>
    </w:p>
    <w:p>
      <w:pPr>
        <w:ind w:left="360" w:firstLine="5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ind w:left="36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ПОДАЧА ЗАЯВОК НА УЧАСТИЕ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осуществляется на сайте: </w:t>
      </w:r>
      <w:r>
        <w:rPr>
          <w:sz w:val="28"/>
          <w:szCs w:val="28"/>
          <w:lang w:val="en-US"/>
        </w:rPr>
        <w:t xml:space="preserve">orgeo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 до 18.00 часов 21 декабря </w:t>
      </w:r>
      <w:r>
        <w:rPr>
          <w:sz w:val="28"/>
          <w:szCs w:val="28"/>
        </w:rPr>
        <w:t xml:space="preserve">2023 года. Участники соревнований, не заявившиеся до указанного срока, к участию в соревнованиях не допускаются.</w:t>
      </w:r>
      <w:r/>
    </w:p>
    <w:p>
      <w:pPr>
        <w:ind w:left="360" w:firstLine="56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360" w:firstLine="56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-567" w:firstLine="562"/>
        <w:jc w:val="center"/>
        <w:spacing w:after="20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Данное положение является официальным вызовом на соревнования</w:t>
      </w:r>
      <w:r>
        <w:rPr>
          <w:b/>
          <w:sz w:val="28"/>
          <w:szCs w:val="28"/>
          <w:u w:val="single"/>
        </w:rPr>
        <w:t xml:space="preserve">.</w:t>
      </w:r>
      <w:r/>
    </w:p>
    <w:p>
      <w:pPr>
        <w:ind w:left="36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426" w:right="566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2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4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5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48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49">
    <w:name w:val="Title Char"/>
    <w:basedOn w:val="667"/>
    <w:link w:val="679"/>
    <w:uiPriority w:val="10"/>
    <w:rPr>
      <w:sz w:val="48"/>
      <w:szCs w:val="48"/>
    </w:rPr>
  </w:style>
  <w:style w:type="character" w:styleId="650">
    <w:name w:val="Subtitle Char"/>
    <w:basedOn w:val="667"/>
    <w:link w:val="681"/>
    <w:uiPriority w:val="11"/>
    <w:rPr>
      <w:sz w:val="24"/>
      <w:szCs w:val="24"/>
    </w:rPr>
  </w:style>
  <w:style w:type="character" w:styleId="651">
    <w:name w:val="Quote Char"/>
    <w:link w:val="683"/>
    <w:uiPriority w:val="29"/>
    <w:rPr>
      <w:i/>
    </w:rPr>
  </w:style>
  <w:style w:type="character" w:styleId="652">
    <w:name w:val="Intense Quote Char"/>
    <w:link w:val="685"/>
    <w:uiPriority w:val="30"/>
    <w:rPr>
      <w:i/>
    </w:rPr>
  </w:style>
  <w:style w:type="character" w:styleId="653">
    <w:name w:val="Header Char"/>
    <w:basedOn w:val="667"/>
    <w:link w:val="687"/>
    <w:uiPriority w:val="99"/>
  </w:style>
  <w:style w:type="character" w:styleId="654">
    <w:name w:val="Caption Char"/>
    <w:basedOn w:val="691"/>
    <w:link w:val="689"/>
    <w:uiPriority w:val="99"/>
  </w:style>
  <w:style w:type="character" w:styleId="655">
    <w:name w:val="Footnote Text Char"/>
    <w:link w:val="818"/>
    <w:uiPriority w:val="99"/>
    <w:rPr>
      <w:sz w:val="18"/>
    </w:rPr>
  </w:style>
  <w:style w:type="character" w:styleId="656">
    <w:name w:val="Endnote Text Char"/>
    <w:link w:val="821"/>
    <w:uiPriority w:val="99"/>
    <w:rPr>
      <w:sz w:val="20"/>
    </w:rPr>
  </w:style>
  <w:style w:type="paragraph" w:styleId="657" w:default="1">
    <w:name w:val="Normal"/>
    <w:qFormat/>
    <w:rPr>
      <w:rFonts w:ascii="Times New Roman" w:hAnsi="Times New Roman" w:eastAsia="Times New Roman" w:cs="Times New Roman"/>
    </w:rPr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657"/>
    <w:next w:val="65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Заголовок Знак"/>
    <w:basedOn w:val="667"/>
    <w:link w:val="679"/>
    <w:uiPriority w:val="10"/>
    <w:rPr>
      <w:sz w:val="48"/>
      <w:szCs w:val="48"/>
    </w:rPr>
  </w:style>
  <w:style w:type="paragraph" w:styleId="681">
    <w:name w:val="Subtitle"/>
    <w:basedOn w:val="657"/>
    <w:next w:val="65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7"/>
    <w:link w:val="681"/>
    <w:uiPriority w:val="11"/>
    <w:rPr>
      <w:sz w:val="24"/>
      <w:szCs w:val="24"/>
    </w:rPr>
  </w:style>
  <w:style w:type="paragraph" w:styleId="683">
    <w:name w:val="Quote"/>
    <w:basedOn w:val="657"/>
    <w:next w:val="657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7"/>
    <w:next w:val="657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7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67"/>
    <w:link w:val="687"/>
    <w:uiPriority w:val="99"/>
  </w:style>
  <w:style w:type="paragraph" w:styleId="689">
    <w:name w:val="Footer"/>
    <w:basedOn w:val="657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67"/>
    <w:uiPriority w:val="99"/>
  </w:style>
  <w:style w:type="paragraph" w:styleId="691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 w:customStyle="1">
    <w:name w:val="Table Grid Light"/>
    <w:basedOn w:val="66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2" w:customStyle="1">
    <w:name w:val="Grid Table 4 - Accent 2"/>
    <w:basedOn w:val="66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3" w:customStyle="1">
    <w:name w:val="Grid Table 4 - Accent 3"/>
    <w:basedOn w:val="66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4" w:customStyle="1">
    <w:name w:val="Grid Table 4 - Accent 4"/>
    <w:basedOn w:val="66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5" w:customStyle="1">
    <w:name w:val="Grid Table 4 - Accent 5"/>
    <w:basedOn w:val="66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6" w:customStyle="1">
    <w:name w:val="Grid Table 4 - Accent 6"/>
    <w:basedOn w:val="66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7">
    <w:name w:val="Grid Table 5 Dark"/>
    <w:basedOn w:val="6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basedOn w:val="66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basedOn w:val="66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basedOn w:val="66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basedOn w:val="66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basedOn w:val="66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>
    <w:name w:val="Grid Table 7 Colorful"/>
    <w:basedOn w:val="66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1"/>
    <w:basedOn w:val="66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2"/>
    <w:basedOn w:val="66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3"/>
    <w:basedOn w:val="66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4"/>
    <w:basedOn w:val="66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5"/>
    <w:basedOn w:val="66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6"/>
    <w:basedOn w:val="66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>
    <w:name w:val="List Table 1 Light"/>
    <w:basedOn w:val="66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5" w:customStyle="1">
    <w:name w:val="List Table 6 Colorful - Accent 2"/>
    <w:basedOn w:val="66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List Table 6 Colorful - Accent 3"/>
    <w:basedOn w:val="66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7" w:customStyle="1">
    <w:name w:val="List Table 6 Colorful - Accent 4"/>
    <w:basedOn w:val="66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List Table 6 Colorful - Accent 5"/>
    <w:basedOn w:val="66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9" w:customStyle="1">
    <w:name w:val="List Table 6 Colorful - Accent 6"/>
    <w:basedOn w:val="66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0">
    <w:name w:val="List Table 7 Colorful"/>
    <w:basedOn w:val="66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1"/>
    <w:basedOn w:val="66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2"/>
    <w:basedOn w:val="66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3"/>
    <w:basedOn w:val="66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4"/>
    <w:basedOn w:val="66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5"/>
    <w:basedOn w:val="66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6"/>
    <w:basedOn w:val="66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ned - Accent"/>
    <w:basedOn w:val="6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Lined - Accent 2"/>
    <w:basedOn w:val="6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Lined - Accent 3"/>
    <w:basedOn w:val="6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Lined - Accent 4"/>
    <w:basedOn w:val="6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Lined - Accent 5"/>
    <w:basedOn w:val="6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Lined - Accent 6"/>
    <w:basedOn w:val="6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 &amp; Lined - Accent"/>
    <w:basedOn w:val="66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Bordered &amp; Lined - Accent 2"/>
    <w:basedOn w:val="66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Bordered &amp; Lined - Accent 3"/>
    <w:basedOn w:val="66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Bordered &amp; Lined - Accent 4"/>
    <w:basedOn w:val="66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Bordered &amp; Lined - Accent 5"/>
    <w:basedOn w:val="66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Bordered &amp; Lined - Accent 6"/>
    <w:basedOn w:val="66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"/>
    <w:basedOn w:val="66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3" w:customStyle="1">
    <w:name w:val="Bordered - Accent 2"/>
    <w:basedOn w:val="66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4" w:customStyle="1">
    <w:name w:val="Bordered - Accent 3"/>
    <w:basedOn w:val="66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5" w:customStyle="1">
    <w:name w:val="Bordered - Accent 4"/>
    <w:basedOn w:val="66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6" w:customStyle="1">
    <w:name w:val="Bordered - Accent 5"/>
    <w:basedOn w:val="66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7" w:customStyle="1">
    <w:name w:val="Bordered - Accent 6"/>
    <w:basedOn w:val="66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8">
    <w:name w:val="footnote text"/>
    <w:basedOn w:val="657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7"/>
    <w:uiPriority w:val="99"/>
    <w:unhideWhenUsed/>
    <w:rPr>
      <w:vertAlign w:val="superscript"/>
    </w:rPr>
  </w:style>
  <w:style w:type="paragraph" w:styleId="821">
    <w:name w:val="endnote text"/>
    <w:basedOn w:val="657"/>
    <w:link w:val="822"/>
    <w:uiPriority w:val="99"/>
    <w:semiHidden/>
    <w:unhideWhenUsed/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7"/>
    <w:uiPriority w:val="99"/>
    <w:semiHidden/>
    <w:unhideWhenUsed/>
    <w:rPr>
      <w:vertAlign w:val="superscript"/>
    </w:rPr>
  </w:style>
  <w:style w:type="paragraph" w:styleId="824">
    <w:name w:val="toc 1"/>
    <w:basedOn w:val="657"/>
    <w:next w:val="657"/>
    <w:uiPriority w:val="39"/>
    <w:unhideWhenUsed/>
    <w:pPr>
      <w:spacing w:after="57"/>
    </w:pPr>
  </w:style>
  <w:style w:type="paragraph" w:styleId="825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6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27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28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29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0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1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2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7"/>
    <w:next w:val="657"/>
    <w:uiPriority w:val="99"/>
    <w:unhideWhenUsed/>
  </w:style>
  <w:style w:type="paragraph" w:styleId="835">
    <w:name w:val="Body Text 2"/>
    <w:basedOn w:val="657"/>
    <w:link w:val="840"/>
    <w:rPr>
      <w:sz w:val="24"/>
    </w:rPr>
  </w:style>
  <w:style w:type="paragraph" w:styleId="836">
    <w:name w:val="Body Text"/>
    <w:basedOn w:val="657"/>
    <w:link w:val="842"/>
    <w:uiPriority w:val="99"/>
    <w:semiHidden/>
    <w:unhideWhenUsed/>
    <w:pPr>
      <w:spacing w:after="120"/>
    </w:pPr>
  </w:style>
  <w:style w:type="paragraph" w:styleId="837">
    <w:name w:val="Body Text Indent"/>
    <w:basedOn w:val="657"/>
    <w:link w:val="841"/>
    <w:uiPriority w:val="99"/>
    <w:semiHidden/>
    <w:unhideWhenUsed/>
    <w:pPr>
      <w:ind w:left="283"/>
      <w:spacing w:after="120"/>
    </w:pPr>
  </w:style>
  <w:style w:type="character" w:styleId="838">
    <w:name w:val="Hyperlink"/>
    <w:basedOn w:val="667"/>
    <w:uiPriority w:val="99"/>
    <w:unhideWhenUsed/>
    <w:rPr>
      <w:color w:val="0000ff" w:themeColor="hyperlink"/>
      <w:u w:val="single"/>
    </w:rPr>
  </w:style>
  <w:style w:type="table" w:styleId="839">
    <w:name w:val="Table Grid"/>
    <w:basedOn w:val="66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Основной текст 2 Знак"/>
    <w:basedOn w:val="667"/>
    <w:link w:val="83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41" w:customStyle="1">
    <w:name w:val="Основной текст с отступом Знак"/>
    <w:basedOn w:val="667"/>
    <w:link w:val="83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2" w:customStyle="1">
    <w:name w:val="Основной текст Знак"/>
    <w:basedOn w:val="667"/>
    <w:link w:val="83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3">
    <w:name w:val="List Paragraph"/>
    <w:basedOn w:val="657"/>
    <w:uiPriority w:val="34"/>
    <w:qFormat/>
    <w:pPr>
      <w:contextualSpacing/>
      <w:ind w:left="720"/>
    </w:pPr>
  </w:style>
  <w:style w:type="table" w:styleId="844" w:customStyle="1">
    <w:name w:val="Сетка таблицы1"/>
    <w:basedOn w:val="66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>
    <w:name w:val="No Spacing"/>
    <w:uiPriority w:val="1"/>
    <w:qFormat/>
    <w:rPr>
      <w:rFonts w:ascii="Times New Roman" w:hAnsi="Times New Roman" w:eastAsia="Times New Roman" w:cs="Times New Roman"/>
    </w:rPr>
  </w:style>
  <w:style w:type="paragraph" w:styleId="846">
    <w:name w:val="Balloon Text"/>
    <w:basedOn w:val="657"/>
    <w:link w:val="84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667"/>
    <w:link w:val="846"/>
    <w:uiPriority w:val="99"/>
    <w:semiHidden/>
    <w:rPr>
      <w:rFonts w:ascii="Segoe UI" w:hAnsi="Segoe UI" w:eastAsia="Times New Roman" w:cs="Segoe UI"/>
      <w:sz w:val="18"/>
      <w:szCs w:val="18"/>
    </w:rPr>
  </w:style>
  <w:style w:type="table" w:styleId="848" w:customStyle="1">
    <w:name w:val="Сетка таблицы2"/>
    <w:basedOn w:val="668"/>
    <w:next w:val="839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3907ECE-CB68-4728-85D4-143157EBA1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2023-12-01T09:37:00Z</dcterms:created>
  <dcterms:modified xsi:type="dcterms:W3CDTF">2023-12-19T12:34:50Z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